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Calibri" w:cs="Calibri" w:hAnsi="Calibri" w:eastAsia="Calibri"/>
          <w:sz w:val="24"/>
          <w:szCs w:val="24"/>
          <w:u w:val="single"/>
        </w:rPr>
      </w:pPr>
      <w:r>
        <w:rPr>
          <w:rFonts w:ascii="Calibri" w:cs="Calibri" w:hAnsi="Calibri" w:eastAsia="Calibri"/>
          <w:sz w:val="24"/>
          <w:szCs w:val="24"/>
          <w:u w:val="single"/>
          <w:rtl w:val="0"/>
          <w:lang w:val="en-US"/>
        </w:rPr>
        <w:t>MINUTES OF MEETING, SEPTEMBER 15, 2020</w:t>
      </w:r>
    </w:p>
    <w:p>
      <w:pPr>
        <w:pStyle w:val="Normal.0"/>
        <w:jc w:val="center"/>
        <w:rPr>
          <w:rFonts w:ascii="Calibri" w:cs="Calibri" w:hAnsi="Calibri" w:eastAsia="Calibri"/>
          <w:sz w:val="24"/>
          <w:szCs w:val="24"/>
          <w:u w:val="single"/>
        </w:rPr>
      </w:pPr>
      <w:r>
        <w:rPr>
          <w:rFonts w:ascii="Calibri" w:cs="Calibri" w:hAnsi="Calibri" w:eastAsia="Calibri"/>
          <w:sz w:val="24"/>
          <w:szCs w:val="24"/>
          <w:u w:val="single"/>
          <w:rtl w:val="0"/>
          <w:lang w:val="en-US"/>
        </w:rPr>
        <w:t xml:space="preserve">  </w:t>
      </w:r>
    </w:p>
    <w:p>
      <w:pPr>
        <w:pStyle w:val="Normal.0"/>
        <w:rPr>
          <w:rFonts w:ascii="Calibri" w:cs="Calibri" w:hAnsi="Calibri" w:eastAsia="Calibri"/>
          <w:sz w:val="24"/>
          <w:szCs w:val="24"/>
        </w:rPr>
      </w:pPr>
      <w:r>
        <w:rPr>
          <w:rFonts w:ascii="Calibri" w:cs="Calibri" w:hAnsi="Calibri" w:eastAsia="Calibri"/>
          <w:sz w:val="24"/>
          <w:szCs w:val="24"/>
          <w:rtl w:val="0"/>
          <w:lang w:val="en-US"/>
        </w:rPr>
        <w:t>Adequate notice of meeting given via alert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Roll Call:  Tania Cruz, Mary Soccio, Patty Coppla, Michael Issler, Steve Fetics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Management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Minutes of August 11, 2020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approved with changes on a motion by Mary Soccio, seconded by Tania Cruz.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Discussion of deck bid for unit 314 &amp; 1903B.  There needs to be architectural drawings.  Cost for 314 - $2,770.00 and 1903B - $3,800.00 plus the cost of drawings.  Mary Soccio questions cost of electrical panels as trying to ascertain cost, so board could make a prudent decision as to do what project and its priority.  All approve, although there were some reservations.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Items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Under deck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Letters should go out before next bulk pick up date stating that there would be a fine, but before this can be done, one needs to know what is acceptable under deck.  Board to give a list by Sunday.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Dead Trees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Remove trees behind building 5 &amp; 6 and when he does come, add tree near 510.  Email bid to Board and contact private home.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Dryer Vent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Work completed.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Decks 702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704 were not inspected, due to shrubbery overgrowth, must be inspected.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Election letter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Management will write, send to Tom for approval and board.  This letter will give information to unit owners as to why annual meeting will not be held.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Electrical Panels and Installation of lights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As previously discussed, electrical panels bid is awarded to Loftus.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Installation of fixtures will be held off to next year, but fixtures will be bought presently so as to take advantage of price.  Tania Cruz states she was able to get a better price for four glass panels on light instead of six, total purchase of 130 for $2,761.00.  All approve.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On Line has more reasonable rate to install light pole at building 19, was approved for a cost of  $1,261.31.</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Tax Sale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Management advises of land behind pool coming up for tax sale, will check out with Borough and advise.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Meeting adjourned 5:40 p.m.</w:t>
      </w: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ind w:left="720" w:firstLine="0"/>
        <w:rPr>
          <w:rFonts w:ascii="Calibri" w:cs="Calibri" w:hAnsi="Calibri" w:eastAsia="Calibri"/>
          <w:sz w:val="24"/>
          <w:szCs w:val="24"/>
        </w:rPr>
      </w:pPr>
    </w:p>
    <w:p>
      <w:pPr>
        <w:pStyle w:val="Normal.0"/>
        <w:ind w:left="720" w:firstLine="0"/>
        <w:rPr>
          <w:rFonts w:ascii="Calibri" w:cs="Calibri" w:hAnsi="Calibri" w:eastAsia="Calibri"/>
          <w:sz w:val="24"/>
          <w:szCs w:val="24"/>
        </w:rPr>
      </w:pPr>
    </w:p>
    <w:p>
      <w:pPr>
        <w:pStyle w:val="Normal.0"/>
        <w:ind w:left="720" w:firstLine="0"/>
        <w:rPr>
          <w:rFonts w:ascii="Arial" w:cs="Arial" w:hAnsi="Arial" w:eastAsia="Arial"/>
          <w:sz w:val="24"/>
          <w:szCs w:val="24"/>
        </w:rPr>
      </w:pPr>
    </w:p>
    <w:p>
      <w:pPr>
        <w:pStyle w:val="Normal.0"/>
        <w:rPr>
          <w:rFonts w:ascii="Calibri" w:cs="Calibri" w:hAnsi="Calibri" w:eastAsia="Calibri"/>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pPr>
      <w:r>
        <w:rPr>
          <w:rFonts w:ascii="Arial" w:cs="Arial" w:hAnsi="Arial" w:eastAsia="Arial"/>
          <w:sz w:val="24"/>
          <w:szCs w:val="24"/>
        </w:rPr>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